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BFCC" w14:textId="77777777" w:rsidR="000F7306" w:rsidRDefault="000F7306" w:rsidP="0009128D">
      <w:pPr>
        <w:autoSpaceDE w:val="0"/>
        <w:autoSpaceDN w:val="0"/>
        <w:adjustRightInd w:val="0"/>
        <w:spacing w:after="0" w:line="240" w:lineRule="auto"/>
        <w:jc w:val="both"/>
        <w:rPr>
          <w:rFonts w:ascii="Helvetica Light" w:hAnsi="Helvetica Light" w:cs="Times New Roman"/>
          <w:color w:val="000000"/>
        </w:rPr>
      </w:pPr>
    </w:p>
    <w:p w14:paraId="175A61BD" w14:textId="7887DD5F" w:rsidR="0009128D" w:rsidRDefault="0009128D" w:rsidP="000F7306">
      <w:pPr>
        <w:jc w:val="both"/>
        <w:rPr>
          <w:rFonts w:ascii="Helvetica Light" w:hAnsi="Helvetica Light" w:cs="Times New Roman"/>
          <w:b/>
          <w:bCs/>
          <w:color w:val="000000"/>
          <w:sz w:val="24"/>
          <w:szCs w:val="24"/>
        </w:rPr>
      </w:pPr>
      <w:bookmarkStart w:id="0" w:name="_Hlk42436616"/>
      <w:r w:rsidRPr="00AA0EA4">
        <w:rPr>
          <w:rFonts w:ascii="Helvetica Light" w:hAnsi="Helvetica Light" w:cs="Times New Roman"/>
          <w:b/>
          <w:bCs/>
          <w:color w:val="000000"/>
          <w:sz w:val="24"/>
          <w:szCs w:val="24"/>
        </w:rPr>
        <w:t>Indicazioni per la compilazione della scheda Verifica delle regole del Protocollo di regolamentazione</w:t>
      </w:r>
    </w:p>
    <w:p w14:paraId="0F447F20" w14:textId="77777777" w:rsidR="000E728C" w:rsidRPr="00AA0EA4" w:rsidRDefault="000E728C" w:rsidP="000F7306">
      <w:pPr>
        <w:jc w:val="both"/>
        <w:rPr>
          <w:rFonts w:ascii="Helvetica Light" w:hAnsi="Helvetica Light" w:cs="Times New Roman"/>
          <w:b/>
          <w:bCs/>
          <w:color w:val="000000"/>
          <w:sz w:val="24"/>
          <w:szCs w:val="24"/>
        </w:rPr>
      </w:pPr>
    </w:p>
    <w:p w14:paraId="01644D08" w14:textId="77777777" w:rsidR="0009128D" w:rsidRPr="00E97A2A" w:rsidRDefault="0009128D" w:rsidP="0009128D">
      <w:pPr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 xml:space="preserve">Le azioni indicate si intendono confermate quando il corrispondente </w:t>
      </w:r>
      <w:r w:rsidRPr="00E97A2A">
        <w:rPr>
          <w:rFonts w:ascii="Helvetica Light" w:hAnsi="Helvetica Light" w:cs="Times New Roman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7A2A">
        <w:rPr>
          <w:rFonts w:ascii="Helvetica Light" w:hAnsi="Helvetica Light" w:cs="Times New Roman"/>
          <w:color w:val="000000"/>
        </w:rPr>
        <w:instrText xml:space="preserve"> FORMCHECKBOX </w:instrText>
      </w:r>
      <w:r w:rsidR="00FD17DE">
        <w:rPr>
          <w:rFonts w:ascii="Helvetica Light" w:hAnsi="Helvetica Light" w:cs="Times New Roman"/>
          <w:color w:val="000000"/>
        </w:rPr>
      </w:r>
      <w:r w:rsidR="00FD17DE">
        <w:rPr>
          <w:rFonts w:ascii="Helvetica Light" w:hAnsi="Helvetica Light" w:cs="Times New Roman"/>
          <w:color w:val="000000"/>
        </w:rPr>
        <w:fldChar w:fldCharType="separate"/>
      </w:r>
      <w:r w:rsidRPr="00E97A2A">
        <w:rPr>
          <w:rFonts w:ascii="Helvetica Light" w:hAnsi="Helvetica Light" w:cs="Times New Roman"/>
          <w:color w:val="000000"/>
        </w:rPr>
        <w:fldChar w:fldCharType="end"/>
      </w:r>
      <w:r w:rsidRPr="00E97A2A">
        <w:rPr>
          <w:rFonts w:ascii="Helvetica Light" w:hAnsi="Helvetica Light" w:cs="Times New Roman"/>
          <w:color w:val="000000"/>
        </w:rPr>
        <w:t xml:space="preserve"> è barrato; diversamente si intende che l’azienda non ha attivato/previsto l’azione in oggetto.</w:t>
      </w:r>
    </w:p>
    <w:p w14:paraId="7FEBD650" w14:textId="77777777" w:rsidR="0009128D" w:rsidRPr="00E97A2A" w:rsidRDefault="0009128D" w:rsidP="0009128D">
      <w:pPr>
        <w:spacing w:after="0"/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>Nella colonna “Non applicabile” appore una “X” quando non ricorre il caso specifico, ad esempio nel caso in cui:</w:t>
      </w:r>
    </w:p>
    <w:p w14:paraId="1589B3ED" w14:textId="77777777" w:rsidR="0009128D" w:rsidRPr="00E97A2A" w:rsidRDefault="0009128D" w:rsidP="0009128D">
      <w:pPr>
        <w:pStyle w:val="Paragrafoelenco"/>
        <w:numPr>
          <w:ilvl w:val="0"/>
          <w:numId w:val="2"/>
        </w:numPr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 xml:space="preserve">ci si avvale di fornitori esterni che non accedono in azienda (rivendita di frutta che si approvvigiona all’orto mercato), </w:t>
      </w:r>
    </w:p>
    <w:p w14:paraId="5EC849A9" w14:textId="77777777" w:rsidR="0009128D" w:rsidRPr="00E97A2A" w:rsidRDefault="0009128D" w:rsidP="0009128D">
      <w:pPr>
        <w:pStyle w:val="Paragrafoelenco"/>
        <w:numPr>
          <w:ilvl w:val="0"/>
          <w:numId w:val="2"/>
        </w:numPr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 xml:space="preserve">la sorveglianza sanitaria non è obbligatoria ai sensi dell’art. 21, </w:t>
      </w:r>
      <w:proofErr w:type="spellStart"/>
      <w:r w:rsidRPr="00E97A2A">
        <w:rPr>
          <w:rFonts w:ascii="Helvetica Light" w:hAnsi="Helvetica Light" w:cs="Times New Roman"/>
          <w:color w:val="000000"/>
        </w:rPr>
        <w:t>D.Lgs</w:t>
      </w:r>
      <w:proofErr w:type="spellEnd"/>
      <w:r w:rsidRPr="00E97A2A">
        <w:rPr>
          <w:rFonts w:ascii="Helvetica Light" w:hAnsi="Helvetica Light" w:cs="Times New Roman"/>
          <w:color w:val="000000"/>
        </w:rPr>
        <w:t xml:space="preserve"> 81/2008. </w:t>
      </w:r>
    </w:p>
    <w:p w14:paraId="44BECBEF" w14:textId="77777777" w:rsidR="0009128D" w:rsidRPr="00E97A2A" w:rsidRDefault="0009128D" w:rsidP="0009128D">
      <w:pPr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>Nella colonna “Note” riportare:</w:t>
      </w:r>
    </w:p>
    <w:p w14:paraId="66A26D1C" w14:textId="77777777" w:rsidR="0009128D" w:rsidRPr="00E97A2A" w:rsidRDefault="0009128D" w:rsidP="0009128D">
      <w:pPr>
        <w:pStyle w:val="Paragrafoelenco"/>
        <w:numPr>
          <w:ilvl w:val="0"/>
          <w:numId w:val="2"/>
        </w:numPr>
        <w:jc w:val="both"/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>solo sintetiche informazioni aggiuntive. Ad esempio, l’azienda, in ottemperanza alle indicazioni del Ministero della Salute secondo le modalità ritenute più opportune, specifica il tipo d’interventi particolari/periodici di pulizia realizzati ricorrendo agli ammortizzatori sociali (anche in deroga);</w:t>
      </w:r>
    </w:p>
    <w:p w14:paraId="0040AA7C" w14:textId="77777777" w:rsidR="0009128D" w:rsidRPr="00E97A2A" w:rsidRDefault="0009128D" w:rsidP="0009128D">
      <w:pPr>
        <w:pStyle w:val="Paragrafoelenco"/>
        <w:numPr>
          <w:ilvl w:val="0"/>
          <w:numId w:val="2"/>
        </w:numPr>
        <w:spacing w:before="40" w:after="40"/>
        <w:jc w:val="both"/>
        <w:rPr>
          <w:rFonts w:ascii="Helvetica Light" w:hAnsi="Helvetica Light" w:cs="Times New Roman"/>
          <w:color w:val="000000"/>
        </w:rPr>
      </w:pPr>
      <w:r w:rsidRPr="00E97A2A">
        <w:rPr>
          <w:rFonts w:ascii="Helvetica Light" w:hAnsi="Helvetica Light" w:cs="Times New Roman"/>
          <w:color w:val="000000"/>
        </w:rPr>
        <w:t>“non previsto” quando le indicazioni anticontagio non richiedono modifiche organizzative o strutturali. Ad esempio, l’azienda non ha redatto un piano di turnazione dei dipendenti dedicati alla produzione per diminuire al massimo i contatti perché ogni dipendente si trova ad operare in un’area vasta e non ha occasione di interferire con gli altri lavoratori.</w:t>
      </w:r>
    </w:p>
    <w:bookmarkEnd w:id="0"/>
    <w:p w14:paraId="4BD90C52" w14:textId="77777777" w:rsidR="0009128D" w:rsidRDefault="0009128D" w:rsidP="0009128D">
      <w:pPr>
        <w:ind w:left="360"/>
      </w:pPr>
    </w:p>
    <w:p w14:paraId="60BA853F" w14:textId="188DB7A2" w:rsidR="00365205" w:rsidRDefault="00365205"/>
    <w:p w14:paraId="61DA1A50" w14:textId="0881F4CC" w:rsidR="004F74BB" w:rsidRDefault="004F74BB"/>
    <w:sectPr w:rsidR="004F74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93F4D"/>
    <w:multiLevelType w:val="hybridMultilevel"/>
    <w:tmpl w:val="C05038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3E1E"/>
    <w:multiLevelType w:val="hybridMultilevel"/>
    <w:tmpl w:val="2158B4AE"/>
    <w:lvl w:ilvl="0" w:tplc="662E5A26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8D"/>
    <w:rsid w:val="0009128D"/>
    <w:rsid w:val="000E728C"/>
    <w:rsid w:val="000F7306"/>
    <w:rsid w:val="00171144"/>
    <w:rsid w:val="00193072"/>
    <w:rsid w:val="00322912"/>
    <w:rsid w:val="0034066B"/>
    <w:rsid w:val="00365205"/>
    <w:rsid w:val="004F74BB"/>
    <w:rsid w:val="005F7031"/>
    <w:rsid w:val="006E563C"/>
    <w:rsid w:val="006F1776"/>
    <w:rsid w:val="00733888"/>
    <w:rsid w:val="0079309E"/>
    <w:rsid w:val="00817563"/>
    <w:rsid w:val="00975D4D"/>
    <w:rsid w:val="009B7BA3"/>
    <w:rsid w:val="009F2416"/>
    <w:rsid w:val="00AA0EA4"/>
    <w:rsid w:val="00B92029"/>
    <w:rsid w:val="00D619F1"/>
    <w:rsid w:val="00EF0052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1693"/>
  <w15:chartTrackingRefBased/>
  <w15:docId w15:val="{3BFC4A40-9037-405D-BA53-8FDF17E3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12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28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09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F74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 Panzeri</dc:creator>
  <cp:keywords/>
  <dc:description/>
  <cp:lastModifiedBy>Stefania Somaini</cp:lastModifiedBy>
  <cp:revision>12</cp:revision>
  <dcterms:created xsi:type="dcterms:W3CDTF">2020-06-07T12:54:00Z</dcterms:created>
  <dcterms:modified xsi:type="dcterms:W3CDTF">2020-06-29T12:55:00Z</dcterms:modified>
</cp:coreProperties>
</file>